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Default="002A43F9" w:rsidP="002A43F9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УТВЕРЖДЕНА</w:t>
      </w:r>
    </w:p>
    <w:p w:rsidR="002A43F9" w:rsidRDefault="00082C00" w:rsidP="00082C00">
      <w:pPr>
        <w:shd w:val="clear" w:color="auto" w:fill="FEFEFE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Приказом</w:t>
      </w:r>
      <w:r w:rsidR="002A43F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Центрально-Городского района </w:t>
      </w:r>
      <w:r w:rsidR="002A43F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  <w:r w:rsidR="002A43F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Горловка </w:t>
      </w:r>
    </w:p>
    <w:p w:rsidR="002A43F9" w:rsidRDefault="008471EC" w:rsidP="002A43F9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от </w:t>
      </w:r>
      <w:r w:rsidR="00082C0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2021 г. № </w:t>
      </w:r>
      <w:r w:rsidR="00082C0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_____</w:t>
      </w:r>
    </w:p>
    <w:p w:rsidR="008E6823" w:rsidRDefault="008E6823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2A43F9" w:rsidRDefault="002A43F9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5A74AF" w:rsidRDefault="005A74AF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8E6823" w:rsidRPr="00396742" w:rsidRDefault="008E6823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</w:t>
      </w:r>
      <w:r w:rsidR="0081213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етодик</w:t>
      </w:r>
      <w:r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а</w:t>
      </w:r>
      <w:r w:rsidR="0081213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проведения конкурсов на замещение </w:t>
      </w:r>
    </w:p>
    <w:p w:rsidR="008E6823" w:rsidRPr="00396742" w:rsidRDefault="00812133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вакантных должностей государственной гражданской службы </w:t>
      </w:r>
    </w:p>
    <w:p w:rsidR="008E6823" w:rsidRPr="00396742" w:rsidRDefault="00812133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Донецкой Народной Республики</w:t>
      </w:r>
      <w:r w:rsidR="008E682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в администрации</w:t>
      </w:r>
      <w:r w:rsidR="00082C0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8E682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 Горловка</w:t>
      </w:r>
    </w:p>
    <w:p w:rsidR="00812133" w:rsidRPr="00396742" w:rsidRDefault="00812133" w:rsidP="000B638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и включение в кадровый резерв </w:t>
      </w:r>
      <w:r w:rsidR="008E682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администрации</w:t>
      </w:r>
      <w:r w:rsidR="00082C0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8E682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</w:t>
      </w:r>
      <w:r w:rsidR="00082C0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  <w:r w:rsidR="008E6823" w:rsidRPr="0039674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Горловка</w:t>
      </w:r>
    </w:p>
    <w:p w:rsidR="000B638F" w:rsidRDefault="000B638F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5A74AF" w:rsidRPr="00396742" w:rsidRDefault="005A74AF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12133" w:rsidRPr="00760A2B" w:rsidRDefault="00812133" w:rsidP="00B00C4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60A2B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I. Общие положения</w:t>
      </w:r>
    </w:p>
    <w:p w:rsidR="005A74AF" w:rsidRPr="00396742" w:rsidRDefault="005A74AF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0030-2-1-20210115-1-1"/>
      <w:bookmarkEnd w:id="0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1.1. </w:t>
      </w:r>
      <w:proofErr w:type="gramStart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Донецкой Народной Республики (далее – гражданская служба) </w:t>
      </w:r>
      <w:r w:rsidR="008E6823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а</w:t>
      </w:r>
      <w:r w:rsidR="00B25C8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дминистрации</w:t>
      </w:r>
      <w:r w:rsidR="00082C0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B25C8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</w:t>
      </w:r>
      <w:r w:rsidR="00082C0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B25C8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Горловка (далее – Администрация)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проведении конкурсов на замещение вакантных должностей гражданской службы</w:t>
      </w:r>
      <w:r w:rsidR="00B25C8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Администрации</w:t>
      </w:r>
      <w:r w:rsidR="00082C0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района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включение в кадровый резерв </w:t>
      </w:r>
      <w:r w:rsidR="00B25C89"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8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048E6"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конкурсы, кадровый резерв).</w:t>
      </w:r>
      <w:proofErr w:type="gramEnd"/>
    </w:p>
    <w:p w:rsidR="008E6823" w:rsidRPr="00396742" w:rsidRDefault="008E682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0030-2-1-20210115-1-2"/>
      <w:bookmarkEnd w:id="1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1.2. </w:t>
      </w:r>
      <w:proofErr w:type="gramStart"/>
      <w:r w:rsidR="00760A2B" w:rsidRPr="001A3B3D">
        <w:rPr>
          <w:rFonts w:ascii="Times New Roman" w:hAnsi="Times New Roman" w:cs="Times New Roman"/>
          <w:sz w:val="28"/>
          <w:szCs w:val="28"/>
        </w:rPr>
        <w:t xml:space="preserve">В соответствии с пунктом 1.2 Единой методики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органов, утвержденной Постановлением Правительства Донецкой Народной Республики от 15 января 2021 г. № 2-1 (далее – Единая методика), </w:t>
      </w:r>
      <w:r w:rsidR="00760A2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онкурсы проводятся в целях оценки профессионального уровня граждан Донецкой Народной Республики (государственных гражданских служащих Донецкой Народной Республики), допущенных к</w:t>
      </w:r>
      <w:proofErr w:type="gramEnd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участию в конкурсах (далее –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– квалификационные требования, оценка кандидатов).</w:t>
      </w:r>
    </w:p>
    <w:p w:rsidR="00CC1B20" w:rsidRPr="00396742" w:rsidRDefault="00CC1B20" w:rsidP="00B00C4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bookmarkStart w:id="2" w:name="0030-2-1-20210115-r2"/>
      <w:bookmarkEnd w:id="2"/>
    </w:p>
    <w:p w:rsidR="00812133" w:rsidRPr="00760A2B" w:rsidRDefault="00812133" w:rsidP="00B00C4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760A2B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II. Подготовка к проведению конкурсов</w:t>
      </w:r>
    </w:p>
    <w:p w:rsidR="00B00C45" w:rsidRPr="00396742" w:rsidRDefault="00B00C45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3" w:name="0030-2-1-20210115-2-1"/>
      <w:bookmarkEnd w:id="3"/>
    </w:p>
    <w:p w:rsidR="00760A2B" w:rsidRPr="001A3B3D" w:rsidRDefault="00760A2B" w:rsidP="0076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30-2-1-20210115-2-2"/>
      <w:bookmarkEnd w:id="4"/>
      <w:r w:rsidRPr="001A3B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В соответствии с пунктом 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3B3D">
        <w:rPr>
          <w:rFonts w:ascii="Times New Roman" w:hAnsi="Times New Roman" w:cs="Times New Roman"/>
          <w:sz w:val="28"/>
          <w:szCs w:val="28"/>
        </w:rPr>
        <w:t xml:space="preserve"> Единой методики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3B3D">
        <w:rPr>
          <w:rFonts w:ascii="Times New Roman" w:hAnsi="Times New Roman" w:cs="Times New Roman"/>
          <w:sz w:val="28"/>
          <w:szCs w:val="28"/>
        </w:rPr>
        <w:t xml:space="preserve">одготовка к проведению конкурсов предусматривает выбор методов оценки профессиональных и личностных качеств кандидатов (далее – методы оценки) </w:t>
      </w:r>
      <w:r w:rsidRPr="001A3B3D">
        <w:rPr>
          <w:rFonts w:ascii="Times New Roman" w:hAnsi="Times New Roman" w:cs="Times New Roman"/>
          <w:sz w:val="28"/>
          <w:szCs w:val="28"/>
        </w:rPr>
        <w:lastRenderedPageBreak/>
        <w:t>и формирование соответствующих им конкурсных заданий, при необходимости актуализацию положений должностных регламентов государственных гражданских служащих Донецкой Народной Республики (далее – гражданские служащие) в отношении вакантных должностей гражданской службы, на замещение которых планируется объявление конкурсов (далее – вакантные должности гражданской</w:t>
      </w:r>
      <w:proofErr w:type="gramEnd"/>
      <w:r w:rsidRPr="001A3B3D">
        <w:rPr>
          <w:rFonts w:ascii="Times New Roman" w:hAnsi="Times New Roman" w:cs="Times New Roman"/>
          <w:sz w:val="28"/>
          <w:szCs w:val="28"/>
        </w:rPr>
        <w:t xml:space="preserve"> службы).</w:t>
      </w:r>
    </w:p>
    <w:p w:rsidR="00F30FDA" w:rsidRPr="00396742" w:rsidRDefault="00F30FDA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33" w:rsidRPr="00396742" w:rsidRDefault="00760A2B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60A2B">
        <w:rPr>
          <w:rFonts w:ascii="Times New Roman" w:hAnsi="Times New Roman" w:cs="Times New Roman"/>
          <w:sz w:val="28"/>
          <w:szCs w:val="28"/>
        </w:rPr>
        <w:t xml:space="preserve"> </w:t>
      </w:r>
      <w:r w:rsidRPr="001A3B3D">
        <w:rPr>
          <w:rFonts w:ascii="Times New Roman" w:hAnsi="Times New Roman" w:cs="Times New Roman"/>
          <w:sz w:val="28"/>
          <w:szCs w:val="28"/>
        </w:rPr>
        <w:t xml:space="preserve">В соответствии с пунктом 2.2 Единой методики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7F43"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решению главы Администрации</w:t>
      </w:r>
      <w:r w:rsidR="0008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43"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должностных регламентах гражданских служащих </w:t>
      </w:r>
      <w:r w:rsidR="00D67F43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E65AB8" w:rsidRPr="00396742" w:rsidRDefault="00E65AB8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D67F43" w:rsidRDefault="00D67F43" w:rsidP="00D67F4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5" w:name="0030-2-1-20210115-2-3"/>
      <w:bookmarkStart w:id="6" w:name="0030-2-1-20210115-2-5"/>
      <w:bookmarkEnd w:id="5"/>
      <w:bookmarkEnd w:id="6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2.3. </w:t>
      </w:r>
      <w:proofErr w:type="gramStart"/>
      <w:r w:rsidR="00760A2B" w:rsidRPr="001A3B3D">
        <w:rPr>
          <w:rFonts w:ascii="Times New Roman" w:hAnsi="Times New Roman" w:cs="Times New Roman"/>
          <w:sz w:val="28"/>
          <w:szCs w:val="28"/>
        </w:rPr>
        <w:t xml:space="preserve">В соответствии с пунктом 2.3 Единой методики </w:t>
      </w:r>
      <w:r w:rsidR="00760A2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законам и другим нормативным правовым актам Донецкой Народной Республики методы оценки, включая индивидуальное собеседование, анкетирование, проведение групповых дискуссий, подготовку проекта документа или тестирование по вопросам, связанным с выполнением должностных обязанностей по вакантной должности гражданской службы (группе</w:t>
      </w:r>
      <w:proofErr w:type="gramEnd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должностей гражданской службы, по которой формируется кадровый резерв).</w:t>
      </w:r>
    </w:p>
    <w:p w:rsidR="00B55B0E" w:rsidRPr="00396742" w:rsidRDefault="00B55B0E" w:rsidP="00D67F4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55B0E" w:rsidRPr="001A3B3D" w:rsidRDefault="00B55B0E" w:rsidP="00B55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2.4. Оценка соответствия кандидатов квалификационным требованиям осуществляется исходя из категорий и групп вакантных должностей гражданской службы (группы должностей гражданской службы, по которой формируется кадровый резерв) в соответствии с методами оценки согласно </w:t>
      </w:r>
      <w:hyperlink r:id="rId7" w:history="1">
        <w:r w:rsidRPr="001A3B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1A3B3D">
        <w:rPr>
          <w:rFonts w:ascii="Times New Roman" w:hAnsi="Times New Roman" w:cs="Times New Roman"/>
          <w:sz w:val="28"/>
          <w:szCs w:val="28"/>
        </w:rPr>
        <w:t> к Единой методике и описанием методов оценки в разделе IV настоящей методики.</w:t>
      </w:r>
    </w:p>
    <w:p w:rsidR="00D67F43" w:rsidRPr="00396742" w:rsidRDefault="00D67F4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2.5. </w:t>
      </w:r>
      <w:proofErr w:type="gramStart"/>
      <w:r w:rsidR="00B55B0E" w:rsidRPr="001A3B3D">
        <w:rPr>
          <w:rFonts w:ascii="Times New Roman" w:hAnsi="Times New Roman" w:cs="Times New Roman"/>
          <w:sz w:val="28"/>
          <w:szCs w:val="28"/>
        </w:rPr>
        <w:t xml:space="preserve">В соответствии с пунктом 2.5 Единой методики 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етоды оценки должны позволить оценить профессиональный уровень кандидатов в зависимости от сферы служебной деятельности, а также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 – для всех кандидатов, лидерство и принятие управленческих решений – дополнительно для кандидатов, претендующих на замещение должностей гражданской службы категории «руководители» всех</w:t>
      </w:r>
      <w:proofErr w:type="gramEnd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групп должностей.</w:t>
      </w:r>
    </w:p>
    <w:p w:rsidR="00B25C89" w:rsidRPr="00396742" w:rsidRDefault="00B25C8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7" w:name="0030-2-1-20210115-2-6"/>
      <w:bookmarkEnd w:id="7"/>
    </w:p>
    <w:p w:rsidR="00B25C89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2.6. </w:t>
      </w:r>
      <w:proofErr w:type="gramStart"/>
      <w:r w:rsidR="00B55B0E" w:rsidRPr="00E56799">
        <w:rPr>
          <w:rFonts w:ascii="Times New Roman" w:hAnsi="Times New Roman" w:cs="Times New Roman"/>
          <w:sz w:val="28"/>
          <w:szCs w:val="28"/>
        </w:rPr>
        <w:t xml:space="preserve">В соответствии с пунктом 2.6 Единой методики 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ч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лены конкурсной комиссии, образованной в </w:t>
      </w:r>
      <w:r w:rsidR="00BC2D7D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r w:rsidR="00082C0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соответствии с Положением о конкурсе на замещение вакантной должности государственной гражданской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службы Донецкой Народной Республики, утвержденным </w:t>
      </w:r>
      <w:hyperlink r:id="rId8" w:tgtFrame="_blank" w:history="1">
        <w:r w:rsidRPr="00396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Указом Главы Донецкой Народной Республики от 06 мая </w:t>
        </w:r>
        <w:r w:rsidR="00DC5B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</w:t>
        </w:r>
        <w:r w:rsidRPr="00396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года № 137 «О конкурсе на замещение вакантной должности государственной гражданской службы Донецкой Народной Республики»</w:t>
        </w:r>
      </w:hyperlink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(далее соответственно – конкурсная комиссия, Положение), вправе вносить</w:t>
      </w:r>
      <w:proofErr w:type="gramEnd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предложения о применении методов оценки </w:t>
      </w:r>
      <w:bookmarkStart w:id="8" w:name="0030-2-1-20210115-2-7"/>
      <w:bookmarkEnd w:id="8"/>
      <w:r w:rsidR="00B55B0E" w:rsidRPr="00E56799">
        <w:rPr>
          <w:rFonts w:ascii="Times New Roman" w:hAnsi="Times New Roman" w:cs="Times New Roman"/>
          <w:sz w:val="28"/>
          <w:szCs w:val="28"/>
        </w:rPr>
        <w:t>описанных в разделе IV настоящей Методики.</w:t>
      </w:r>
    </w:p>
    <w:p w:rsidR="00BC2D7D" w:rsidRPr="00396742" w:rsidRDefault="00BC2D7D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9" w:name="0030-2-1-20210115-2-8"/>
      <w:bookmarkEnd w:id="9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B55B0E" w:rsidRPr="001A3B3D">
        <w:rPr>
          <w:rFonts w:ascii="Times New Roman" w:hAnsi="Times New Roman" w:cs="Times New Roman"/>
          <w:sz w:val="28"/>
          <w:szCs w:val="28"/>
        </w:rPr>
        <w:t xml:space="preserve">В соответствии с пунктом 2.8 Единой методики 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целях повышения объективности и независимости работы конкурсной комиссии по решению </w:t>
      </w:r>
      <w:r w:rsidR="00BC2D7D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главы Администрации</w:t>
      </w:r>
      <w:r w:rsidR="00082C0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проводится периодическое (как правило, ежегодно) обновление ее состава.</w:t>
      </w:r>
    </w:p>
    <w:p w:rsidR="00BC2D7D" w:rsidRPr="00396742" w:rsidRDefault="00BC2D7D" w:rsidP="00B55B0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0" w:name="0030-2-1-20210115-2-9"/>
      <w:bookmarkStart w:id="11" w:name="0030-2-1-20210115-2-10"/>
      <w:bookmarkEnd w:id="10"/>
      <w:bookmarkEnd w:id="11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8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B55B0E" w:rsidRPr="00B55B0E">
        <w:rPr>
          <w:rFonts w:ascii="Times New Roman" w:hAnsi="Times New Roman" w:cs="Times New Roman"/>
          <w:sz w:val="28"/>
          <w:szCs w:val="28"/>
        </w:rPr>
        <w:t xml:space="preserve"> </w:t>
      </w:r>
      <w:r w:rsidR="00B55B0E" w:rsidRPr="001A3B3D">
        <w:rPr>
          <w:rFonts w:ascii="Times New Roman" w:hAnsi="Times New Roman" w:cs="Times New Roman"/>
          <w:sz w:val="28"/>
          <w:szCs w:val="28"/>
        </w:rPr>
        <w:t>В соответствии с пунктом 2.10 Единой методики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ри подготовке к проведению конкурсов </w:t>
      </w:r>
      <w:r w:rsidR="002A43F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отдело</w:t>
      </w:r>
      <w:r w:rsidR="000A7C6F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уточняется участие в составе конкурсной комиссии представителей научных, образовательных и других организаций, привлекаемых в качестве независимых экспертов – специалистов по вопросам, связанным с гражданской службой (далее – независимые эксперты).</w:t>
      </w:r>
    </w:p>
    <w:p w:rsidR="00120454" w:rsidRPr="00396742" w:rsidRDefault="00120454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2" w:name="0030-2-1-20210115-2-11"/>
      <w:bookmarkStart w:id="13" w:name="0030-2-1-20210115-2-12"/>
      <w:bookmarkEnd w:id="12"/>
      <w:bookmarkEnd w:id="13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9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B55B0E" w:rsidRPr="001A3B3D">
        <w:rPr>
          <w:rFonts w:ascii="Times New Roman" w:hAnsi="Times New Roman" w:cs="Times New Roman"/>
          <w:sz w:val="28"/>
          <w:szCs w:val="28"/>
        </w:rPr>
        <w:t xml:space="preserve">В соответствии с пунктом 2.12 Единой методики </w:t>
      </w:r>
      <w:r w:rsidR="00B55B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бщее число указанных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B00C45" w:rsidRDefault="00B00C45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bookmarkStart w:id="14" w:name="0030-2-1-20210115-r3"/>
      <w:bookmarkEnd w:id="14"/>
    </w:p>
    <w:p w:rsidR="005A74AF" w:rsidRPr="00396742" w:rsidRDefault="005A74AF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812133" w:rsidRPr="00B55B0E" w:rsidRDefault="00812133" w:rsidP="00B00C4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55B0E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III. Объявление конкурсов</w:t>
      </w:r>
    </w:p>
    <w:p w:rsidR="00B00C45" w:rsidRDefault="00B00C45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5" w:name="0030-2-1-20210115-3-1"/>
      <w:bookmarkEnd w:id="15"/>
    </w:p>
    <w:p w:rsidR="005A74AF" w:rsidRPr="00396742" w:rsidRDefault="005A74AF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0E7C78" w:rsidRPr="001A3B3D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0030-2-1-20210115-r4"/>
      <w:bookmarkEnd w:id="16"/>
      <w:r w:rsidRPr="001A3B3D">
        <w:rPr>
          <w:rFonts w:ascii="Times New Roman" w:hAnsi="Times New Roman" w:cs="Times New Roman"/>
          <w:sz w:val="28"/>
          <w:szCs w:val="28"/>
        </w:rPr>
        <w:t xml:space="preserve">3.1. В соответствии с пунктом 3.1 Единой методики конкурс проводится в два этапа. На первом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A3B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Pr="001A3B3D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объявление о приеме документов для участия в конкурсе (далее – объявление о конкурсе).</w:t>
      </w:r>
    </w:p>
    <w:p w:rsidR="000E7C78" w:rsidRPr="001A3B3D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78" w:rsidRPr="001A3B3D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В соответствии с пунктом 3.2 Единой методики объявление о конкурсе должно включать в себя помимо сведений, предусмотренных пунктом 6 Положения, сведения о методах оценки, а также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  <w:proofErr w:type="gramEnd"/>
    </w:p>
    <w:p w:rsidR="000E7C78" w:rsidRPr="001A3B3D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>Информация о конкурсе не должна корректироваться после ее опубликования, за исключением случая отмены конкурса.</w:t>
      </w:r>
    </w:p>
    <w:p w:rsidR="000E7C78" w:rsidRPr="001A3B3D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78" w:rsidRPr="001A3B3D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3D">
        <w:rPr>
          <w:rFonts w:ascii="Times New Roman" w:hAnsi="Times New Roman" w:cs="Times New Roman"/>
          <w:sz w:val="28"/>
          <w:szCs w:val="28"/>
        </w:rPr>
        <w:t xml:space="preserve">3.3. В соответствии с пунктом 3.3 Единой методики Администрация не </w:t>
      </w:r>
      <w:proofErr w:type="gramStart"/>
      <w:r w:rsidRPr="001A3B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3B3D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дня начала второго этапа конкурса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Горловка </w:t>
      </w:r>
      <w:r w:rsidRPr="001A3B3D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1A3B3D">
        <w:rPr>
          <w:rFonts w:ascii="Times New Roman" w:hAnsi="Times New Roman" w:cs="Times New Roman"/>
          <w:sz w:val="28"/>
          <w:szCs w:val="28"/>
        </w:rPr>
        <w:lastRenderedPageBreak/>
        <w:t>Интернет информацию о дате, месте и времени проведения второго этапа конкурса и направляет кандидатам, соответствующие сообщения в письменной форме.</w:t>
      </w:r>
    </w:p>
    <w:p w:rsidR="00B00C45" w:rsidRDefault="00B00C45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5A74AF" w:rsidRPr="00396742" w:rsidRDefault="005A74AF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812133" w:rsidRPr="00396742" w:rsidRDefault="00812133" w:rsidP="00B00C4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IV. Проведение конкурсов</w:t>
      </w:r>
    </w:p>
    <w:p w:rsidR="00B00C45" w:rsidRDefault="00B00C45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7" w:name="0030-2-1-20210115-4-1"/>
      <w:bookmarkEnd w:id="17"/>
    </w:p>
    <w:p w:rsidR="005A74AF" w:rsidRPr="00396742" w:rsidRDefault="005A74AF" w:rsidP="000B638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0E7C78" w:rsidRPr="007621F3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0030-2-1-20210115-4-2"/>
      <w:bookmarkEnd w:id="18"/>
      <w:r w:rsidRPr="007621F3">
        <w:rPr>
          <w:rFonts w:ascii="Times New Roman" w:hAnsi="Times New Roman" w:cs="Times New Roman"/>
          <w:sz w:val="28"/>
          <w:szCs w:val="28"/>
        </w:rPr>
        <w:t>4.1. В соответствии с пунктом 4.1 Единой методики 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0E7C78" w:rsidRPr="007621F3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C78" w:rsidRPr="007621F3" w:rsidRDefault="000E7C78" w:rsidP="000E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1F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621F3">
        <w:rPr>
          <w:rFonts w:ascii="Times New Roman" w:hAnsi="Times New Roman" w:cs="Times New Roman"/>
          <w:sz w:val="28"/>
          <w:szCs w:val="28"/>
        </w:rPr>
        <w:t>В соответствии с пунктом 4.2 Единой методики при обработке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1F3">
        <w:rPr>
          <w:rFonts w:ascii="Times New Roman" w:hAnsi="Times New Roman" w:cs="Times New Roman"/>
          <w:sz w:val="28"/>
          <w:szCs w:val="28"/>
        </w:rPr>
        <w:t>в соответствии с законодательством Донецкой Народной Республики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1F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621F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120454" w:rsidRPr="00396742" w:rsidRDefault="00120454" w:rsidP="000E7C7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9" w:name="0030-2-1-20210115-4-3"/>
      <w:bookmarkEnd w:id="19"/>
    </w:p>
    <w:p w:rsidR="00C45AE5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0E7C7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C45AE5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Обязательными методами оценки являются тестирование </w:t>
      </w:r>
      <w:r w:rsidR="002E018E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 индивидуальное собеседование.</w:t>
      </w:r>
    </w:p>
    <w:p w:rsidR="00C45AE5" w:rsidRPr="00396742" w:rsidRDefault="00C45AE5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12133" w:rsidRPr="00396742" w:rsidRDefault="002E018E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0E7C7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Т</w:t>
      </w:r>
      <w:r w:rsidR="00812133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естирование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проводится</w:t>
      </w:r>
      <w:r w:rsidR="00812133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оценки уровня владения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технологий;</w:t>
      </w:r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для оценки знаний и умений, необходимых для исполнения должностных обязанностей.</w:t>
      </w:r>
    </w:p>
    <w:p w:rsidR="003713B5" w:rsidRPr="00396742" w:rsidRDefault="003713B5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0" w:name="0030-2-1-20210115-4-4"/>
      <w:bookmarkEnd w:id="20"/>
    </w:p>
    <w:p w:rsidR="00E47949" w:rsidRPr="00396742" w:rsidRDefault="002E018E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4.</w:t>
      </w:r>
      <w:r w:rsidR="000E7C78">
        <w:rPr>
          <w:rFonts w:ascii="Times New Roman" w:hAnsi="Times New Roman" w:cs="Times New Roman"/>
          <w:sz w:val="28"/>
          <w:szCs w:val="28"/>
        </w:rPr>
        <w:t>5</w:t>
      </w:r>
      <w:r w:rsidRPr="00396742">
        <w:rPr>
          <w:rFonts w:ascii="Times New Roman" w:hAnsi="Times New Roman" w:cs="Times New Roman"/>
          <w:sz w:val="28"/>
          <w:szCs w:val="28"/>
        </w:rPr>
        <w:t xml:space="preserve">. </w:t>
      </w:r>
      <w:r w:rsidR="00E47949" w:rsidRPr="00396742">
        <w:rPr>
          <w:rFonts w:ascii="Times New Roman" w:hAnsi="Times New Roman" w:cs="Times New Roman"/>
          <w:sz w:val="28"/>
          <w:szCs w:val="28"/>
        </w:rPr>
        <w:t xml:space="preserve"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 </w:t>
      </w:r>
    </w:p>
    <w:p w:rsidR="00E47949" w:rsidRPr="00396742" w:rsidRDefault="00E47949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949" w:rsidRPr="00396742" w:rsidRDefault="002E018E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4.</w:t>
      </w:r>
      <w:r w:rsidR="000E7C78">
        <w:rPr>
          <w:rFonts w:ascii="Times New Roman" w:hAnsi="Times New Roman" w:cs="Times New Roman"/>
          <w:sz w:val="28"/>
          <w:szCs w:val="28"/>
        </w:rPr>
        <w:t>6</w:t>
      </w:r>
      <w:r w:rsidRPr="00396742">
        <w:rPr>
          <w:rFonts w:ascii="Times New Roman" w:hAnsi="Times New Roman" w:cs="Times New Roman"/>
          <w:sz w:val="28"/>
          <w:szCs w:val="28"/>
        </w:rPr>
        <w:t xml:space="preserve">. </w:t>
      </w:r>
      <w:r w:rsidR="00E47949" w:rsidRPr="00396742">
        <w:rPr>
          <w:rFonts w:ascii="Times New Roman" w:hAnsi="Times New Roman" w:cs="Times New Roman"/>
          <w:sz w:val="28"/>
          <w:szCs w:val="28"/>
        </w:rPr>
        <w:t xml:space="preserve">По результатам тестирования кандидатам выставляется: </w:t>
      </w:r>
    </w:p>
    <w:p w:rsidR="00E47949" w:rsidRPr="00396742" w:rsidRDefault="00E47949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10 баллов, если даны правильные ответы более чем на 90 % вопросов; </w:t>
      </w:r>
    </w:p>
    <w:p w:rsidR="00E47949" w:rsidRPr="00396742" w:rsidRDefault="00E47949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8 баллов, если даны правильные ответы на 61–90 % вопросов; </w:t>
      </w:r>
    </w:p>
    <w:p w:rsidR="00E47949" w:rsidRPr="00396742" w:rsidRDefault="00E47949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6 баллов, если даны правильные ответы на 50–60 % вопросов; </w:t>
      </w:r>
    </w:p>
    <w:p w:rsidR="00E47949" w:rsidRPr="00396742" w:rsidRDefault="00E47949" w:rsidP="00E4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lastRenderedPageBreak/>
        <w:t xml:space="preserve">0 баллов, если даны правильные ответы менее чем на 50 % вопросов. </w:t>
      </w:r>
    </w:p>
    <w:p w:rsidR="00E47949" w:rsidRPr="00396742" w:rsidRDefault="00E4794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2E018E" w:rsidRPr="00396742" w:rsidRDefault="002E018E" w:rsidP="002E018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0E7C7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2E018E" w:rsidRPr="00396742" w:rsidRDefault="002E018E" w:rsidP="002E018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2E018E" w:rsidRPr="00396742" w:rsidRDefault="002E018E" w:rsidP="002E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4.</w:t>
      </w:r>
      <w:r w:rsidR="000E7C78">
        <w:rPr>
          <w:rFonts w:ascii="Times New Roman" w:hAnsi="Times New Roman" w:cs="Times New Roman"/>
          <w:sz w:val="28"/>
          <w:szCs w:val="28"/>
        </w:rPr>
        <w:t>8</w:t>
      </w:r>
      <w:r w:rsidRPr="00396742">
        <w:rPr>
          <w:rFonts w:ascii="Times New Roman" w:hAnsi="Times New Roman" w:cs="Times New Roman"/>
          <w:sz w:val="28"/>
          <w:szCs w:val="28"/>
        </w:rPr>
        <w:t xml:space="preserve">. Индивидуальное собеседование с кандидатами, прошедшими тестирование, проводится членами конкурсной комиссии. Индивидуальное собеседование заключается в устных ответах кандидатов на вопросы по теме его будущей служебной деятельности, задаваемые членами конкурсной комиссии. Результаты индивидуального собеседования оцениваются членами конкурсной комиссии: </w:t>
      </w:r>
    </w:p>
    <w:p w:rsidR="002E018E" w:rsidRPr="00396742" w:rsidRDefault="002E018E" w:rsidP="002E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10 баллов, – если кандидат последовательно, в полном объеме, глубоко и правильно раскрыл содержание вопроса, правильно использовал понятия и термины,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решения; </w:t>
      </w:r>
    </w:p>
    <w:p w:rsidR="002E018E" w:rsidRPr="00396742" w:rsidRDefault="002E018E" w:rsidP="002E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8 баллов, –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 </w:t>
      </w:r>
    </w:p>
    <w:p w:rsidR="002E018E" w:rsidRPr="00396742" w:rsidRDefault="002E018E" w:rsidP="002E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6 баллов, –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 </w:t>
      </w:r>
    </w:p>
    <w:p w:rsidR="002E018E" w:rsidRPr="00396742" w:rsidRDefault="002E018E" w:rsidP="002E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0 баллов, –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переговоров. </w:t>
      </w:r>
    </w:p>
    <w:p w:rsidR="002E018E" w:rsidRPr="00396742" w:rsidRDefault="002E018E" w:rsidP="002E018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27329C" w:rsidRPr="00396742" w:rsidRDefault="0027329C" w:rsidP="0027329C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0E7C7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9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gramStart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форме, </w:t>
      </w:r>
      <w:r w:rsidRPr="00DC5B5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установленной </w:t>
      </w:r>
      <w:hyperlink r:id="rId9" w:history="1">
        <w:r w:rsidRPr="00DC5B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  <w:r w:rsidR="00382722" w:rsidRPr="00DC5B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  <w:r w:rsidRPr="00396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настоящей </w:t>
      </w:r>
      <w:r w:rsidR="00DC5B5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етодике, результат оценки кандидата при необходимости с краткой мотивировкой, обосновывающей принятое членом конкурсной комиссии решение.</w:t>
      </w:r>
      <w:proofErr w:type="gramEnd"/>
    </w:p>
    <w:p w:rsidR="002E018E" w:rsidRPr="00396742" w:rsidRDefault="002E018E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4.1</w:t>
      </w:r>
      <w:r w:rsidR="009C7E77">
        <w:rPr>
          <w:rFonts w:ascii="Times New Roman" w:hAnsi="Times New Roman" w:cs="Times New Roman"/>
          <w:sz w:val="28"/>
          <w:szCs w:val="28"/>
        </w:rPr>
        <w:t>0</w:t>
      </w:r>
      <w:r w:rsidRPr="00396742">
        <w:rPr>
          <w:rFonts w:ascii="Times New Roman" w:hAnsi="Times New Roman" w:cs="Times New Roman"/>
          <w:sz w:val="28"/>
          <w:szCs w:val="28"/>
        </w:rPr>
        <w:t>. Необходимость, а также очередность применения других методов оценки при проведении конкурса определяется конкурсной комиссией</w:t>
      </w:r>
      <w:r w:rsidR="00382722" w:rsidRPr="00396742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структурного подразделения, в котором замещается вакантная должность гражданской службы</w:t>
      </w:r>
      <w:r w:rsidRPr="00396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722" w:rsidRPr="00396742" w:rsidRDefault="00382722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4.1</w:t>
      </w:r>
      <w:r w:rsidR="009C7E77">
        <w:rPr>
          <w:rFonts w:ascii="Times New Roman" w:hAnsi="Times New Roman" w:cs="Times New Roman"/>
          <w:sz w:val="28"/>
          <w:szCs w:val="28"/>
        </w:rPr>
        <w:t>1</w:t>
      </w:r>
      <w:r w:rsidRPr="00396742">
        <w:rPr>
          <w:rFonts w:ascii="Times New Roman" w:hAnsi="Times New Roman" w:cs="Times New Roman"/>
          <w:sz w:val="28"/>
          <w:szCs w:val="28"/>
        </w:rPr>
        <w:t xml:space="preserve">. Групповые дискуссии проводятся в форме свободной беседы с кандидатами и базируются на практических вопросах, конкретных ситуациях, касающихся их будущей профессиональной служебной деятельности. </w:t>
      </w: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 </w:t>
      </w: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Результаты дискуссии оцениваются членами конкурсной комиссии: </w:t>
      </w: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5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обоснованно и самостоятельно принимать решения; </w:t>
      </w: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4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решения; </w:t>
      </w: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3 балла,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отстаивания собственной точки зрения и ведения деловых переговоров; </w:t>
      </w:r>
    </w:p>
    <w:p w:rsidR="0027329C" w:rsidRPr="00396742" w:rsidRDefault="0027329C" w:rsidP="00273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соответствующих области и виде </w:t>
      </w:r>
      <w:r w:rsidRPr="0039674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 и ведения деловых переговоров. </w:t>
      </w:r>
    </w:p>
    <w:p w:rsidR="002E018E" w:rsidRPr="00396742" w:rsidRDefault="002E018E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57E" w:rsidRPr="00396742" w:rsidRDefault="00F6257E" w:rsidP="00F62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742">
        <w:rPr>
          <w:sz w:val="28"/>
          <w:szCs w:val="28"/>
        </w:rPr>
        <w:t>4.1</w:t>
      </w:r>
      <w:r w:rsidR="009C7E77">
        <w:rPr>
          <w:sz w:val="28"/>
          <w:szCs w:val="28"/>
        </w:rPr>
        <w:t>2</w:t>
      </w:r>
      <w:r w:rsidRPr="00396742">
        <w:rPr>
          <w:sz w:val="28"/>
          <w:szCs w:val="28"/>
        </w:rPr>
        <w:t>.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формируется кадровый резерв), а также квалификационных требований для замещения указанных должностей.</w:t>
      </w:r>
    </w:p>
    <w:p w:rsidR="00F6257E" w:rsidRPr="00396742" w:rsidRDefault="00F6257E" w:rsidP="00F625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742">
        <w:rPr>
          <w:sz w:val="28"/>
          <w:szCs w:val="28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знаниях и умениях,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9C7E77" w:rsidRPr="009C7E77" w:rsidRDefault="00F6257E" w:rsidP="009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77">
        <w:rPr>
          <w:rFonts w:ascii="Times New Roman" w:hAnsi="Times New Roman" w:cs="Times New Roman"/>
          <w:sz w:val="28"/>
          <w:szCs w:val="28"/>
        </w:rPr>
        <w:t xml:space="preserve">Анкеты оцениваются по уровню знаний и умений, приобретенных кандидатом в процессе обучения, участия в мероприятиях по профессиональному развитию, ранее осуществляемой профессиональной деятельности, необходимых для исполнения им должностных обязанностей по вакантной должности гражданской службы (группе должностей гражданской службы, по которой формируется кадровый резерв). </w:t>
      </w:r>
      <w:r w:rsidR="009C7E77" w:rsidRPr="009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77" w:rsidRPr="009C7E77" w:rsidRDefault="009C7E77" w:rsidP="009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77">
        <w:rPr>
          <w:rFonts w:ascii="Times New Roman" w:hAnsi="Times New Roman" w:cs="Times New Roman"/>
          <w:sz w:val="28"/>
          <w:szCs w:val="28"/>
        </w:rPr>
        <w:t>Итоговый балл, набранный кандидатом по итогам анкетирования, определяется как сумма баллов по следующим критериям:</w:t>
      </w:r>
    </w:p>
    <w:p w:rsidR="009C7E77" w:rsidRPr="009C7E77" w:rsidRDefault="009C7E77" w:rsidP="009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77">
        <w:rPr>
          <w:rFonts w:ascii="Times New Roman" w:hAnsi="Times New Roman" w:cs="Times New Roman"/>
          <w:sz w:val="28"/>
          <w:szCs w:val="28"/>
        </w:rPr>
        <w:t xml:space="preserve">полнота и направленность образования (0 баллов – не соответствует,                    1 балл – частично соответствует, 2 балла – соответствует в полном объеме); </w:t>
      </w:r>
    </w:p>
    <w:p w:rsidR="009C7E77" w:rsidRPr="009C7E77" w:rsidRDefault="009C7E77" w:rsidP="009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77">
        <w:rPr>
          <w:rFonts w:ascii="Times New Roman" w:hAnsi="Times New Roman" w:cs="Times New Roman"/>
          <w:sz w:val="28"/>
          <w:szCs w:val="28"/>
        </w:rPr>
        <w:t>профессиональная направленность (0 баллов – не соответствует, 1 балл – частично соответствует, 2 балла – соответствует в полном объеме);</w:t>
      </w:r>
    </w:p>
    <w:p w:rsidR="009C7E77" w:rsidRPr="009C7E77" w:rsidRDefault="009C7E77" w:rsidP="009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77">
        <w:rPr>
          <w:rFonts w:ascii="Times New Roman" w:hAnsi="Times New Roman" w:cs="Times New Roman"/>
          <w:sz w:val="28"/>
          <w:szCs w:val="28"/>
        </w:rPr>
        <w:t>самооценка личных качеств (содержательность от 0 до 2 баллов);</w:t>
      </w:r>
    </w:p>
    <w:p w:rsidR="009C7E77" w:rsidRPr="009C7E77" w:rsidRDefault="009C7E77" w:rsidP="009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77">
        <w:rPr>
          <w:rFonts w:ascii="Times New Roman" w:hAnsi="Times New Roman" w:cs="Times New Roman"/>
          <w:sz w:val="28"/>
          <w:szCs w:val="28"/>
        </w:rPr>
        <w:t>видение своих сильных и слабых сторон (содержательность от 0 до                    2 баллов);</w:t>
      </w:r>
    </w:p>
    <w:p w:rsidR="009C7E77" w:rsidRPr="009C7E77" w:rsidRDefault="009C7E77" w:rsidP="009C7E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E77">
        <w:rPr>
          <w:sz w:val="28"/>
          <w:szCs w:val="28"/>
        </w:rPr>
        <w:t xml:space="preserve">жизненная миссия (содержательность от 0 до 2 баллов). </w:t>
      </w:r>
    </w:p>
    <w:p w:rsidR="00F6257E" w:rsidRPr="009C7E77" w:rsidRDefault="00F6257E" w:rsidP="009C7E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E77">
        <w:rPr>
          <w:sz w:val="28"/>
          <w:szCs w:val="28"/>
        </w:rPr>
        <w:t>Максимальная оценка за выполнение конкурсного задания в виде анкетирования составляет 10 баллов.</w:t>
      </w:r>
    </w:p>
    <w:p w:rsidR="002E018E" w:rsidRPr="00396742" w:rsidRDefault="002E018E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4.1</w:t>
      </w:r>
      <w:r w:rsidR="009C7E77">
        <w:rPr>
          <w:rFonts w:ascii="Times New Roman" w:hAnsi="Times New Roman" w:cs="Times New Roman"/>
          <w:sz w:val="28"/>
          <w:szCs w:val="28"/>
        </w:rPr>
        <w:t>3</w:t>
      </w:r>
      <w:r w:rsidRPr="00396742">
        <w:rPr>
          <w:rFonts w:ascii="Times New Roman" w:hAnsi="Times New Roman" w:cs="Times New Roman"/>
          <w:sz w:val="28"/>
          <w:szCs w:val="28"/>
        </w:rPr>
        <w:t>.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службы (по группе должностей гражданской службы, по которой проводится </w:t>
      </w:r>
      <w:r w:rsidRPr="00396742">
        <w:rPr>
          <w:rFonts w:ascii="Times New Roman" w:hAnsi="Times New Roman" w:cs="Times New Roman"/>
          <w:sz w:val="28"/>
          <w:szCs w:val="28"/>
        </w:rPr>
        <w:lastRenderedPageBreak/>
        <w:t>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Оценка подготовленного проекта документа осуществляется руководителем заинтересованного структурного подразделения Администрации. При этом в целях проведения объективной оценки обеспечивается анонимность подготовленного проекта документа.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Результаты оценки проекта документа оформляются в виде краткой справки.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Итоговый балл, набранный кандидатом по итогам подготовки проекта документа, определяется как сумма баллов по следующим критериям: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 (0 баллов – не соответствует, 1 балл – частично соответствует, 2 балла – соответствует в полном объеме);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фактов и проблем, послуживших основанием для разработки проекта документа (от 0 до 4 баллов);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 xml:space="preserve">отражение путей решения проблем, послуживших основанием для разработки проекта документа, с учетом правильного применения норм законодательства </w:t>
      </w:r>
      <w:r w:rsidR="00AA77A4">
        <w:rPr>
          <w:rFonts w:ascii="Times New Roman" w:hAnsi="Times New Roman" w:cs="Times New Roman"/>
          <w:sz w:val="28"/>
          <w:szCs w:val="28"/>
        </w:rPr>
        <w:t>Донецкой Народной Рес</w:t>
      </w:r>
      <w:r w:rsidR="009B3EBB">
        <w:rPr>
          <w:rFonts w:ascii="Times New Roman" w:hAnsi="Times New Roman" w:cs="Times New Roman"/>
          <w:sz w:val="28"/>
          <w:szCs w:val="28"/>
        </w:rPr>
        <w:t>публики</w:t>
      </w:r>
      <w:r w:rsidRPr="00396742">
        <w:rPr>
          <w:rFonts w:ascii="Times New Roman" w:hAnsi="Times New Roman" w:cs="Times New Roman"/>
          <w:sz w:val="28"/>
          <w:szCs w:val="28"/>
        </w:rPr>
        <w:t xml:space="preserve"> (от 0 до 4 баллов);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 (от 0 до 4 баллов);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 (от 0 до 3 баллов);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правовая и лингвистическая грамотность (от 0 до 3 баллов).</w:t>
      </w:r>
    </w:p>
    <w:p w:rsidR="00B5558B" w:rsidRPr="00396742" w:rsidRDefault="00B5558B" w:rsidP="00B55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42">
        <w:rPr>
          <w:rFonts w:ascii="Times New Roman" w:hAnsi="Times New Roman" w:cs="Times New Roman"/>
          <w:sz w:val="28"/>
          <w:szCs w:val="28"/>
        </w:rPr>
        <w:t>Количество возможных баллов по итогам подготовки проекта документа – от 0 до 20 баллов.</w:t>
      </w:r>
    </w:p>
    <w:p w:rsidR="002E018E" w:rsidRPr="00396742" w:rsidRDefault="002E018E" w:rsidP="00B5558B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558B"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3E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EBB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4.4 Единой методики </w:t>
      </w:r>
      <w:r w:rsidR="009B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обеспечения контроля при выполнении кандидатами конкурсных заданий в ходе конкурсных процедур присутствуют члены конкурсной комиссии. Члены конкурсной комиссии не позднее 3 рабочих дней до начала ее заседания </w:t>
      </w:r>
      <w:r w:rsidR="00FB04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 w:rsidRPr="0039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3713B5" w:rsidRPr="00396742" w:rsidRDefault="003713B5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1" w:name="0030-2-1-20210115-4-5"/>
      <w:bookmarkEnd w:id="21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B5558B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9B3EBB" w:rsidRPr="009B3EBB">
        <w:rPr>
          <w:rFonts w:ascii="Times New Roman" w:hAnsi="Times New Roman" w:cs="Times New Roman"/>
          <w:sz w:val="28"/>
          <w:szCs w:val="28"/>
        </w:rPr>
        <w:t xml:space="preserve"> </w:t>
      </w:r>
      <w:r w:rsidR="009B3EBB" w:rsidRPr="007621F3">
        <w:rPr>
          <w:rFonts w:ascii="Times New Roman" w:hAnsi="Times New Roman" w:cs="Times New Roman"/>
          <w:sz w:val="28"/>
          <w:szCs w:val="28"/>
        </w:rPr>
        <w:t>В соответствии с пунктом 4.5 Единой методики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ри выполнении кандидатами конкурсных заданий и проведении заседания конкурсной комиссии по решению </w:t>
      </w:r>
      <w:r w:rsidR="00C45AE5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главы Администрации</w:t>
      </w:r>
      <w:r w:rsidR="005A74A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ведется виде</w:t>
      </w:r>
      <w:proofErr w:type="gramStart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о-</w:t>
      </w:r>
      <w:proofErr w:type="gramEnd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 (или) аудиозапись либо стенограмма проведения соответствующих конкурсных процедур.</w:t>
      </w:r>
    </w:p>
    <w:p w:rsidR="003713B5" w:rsidRPr="00396742" w:rsidRDefault="003713B5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2" w:name="0030-2-1-20210115-4-6"/>
      <w:bookmarkEnd w:id="22"/>
    </w:p>
    <w:p w:rsidR="00812133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3" w:name="0030-2-1-20210115-4-7"/>
      <w:bookmarkStart w:id="24" w:name="0030-2-1-20210115-4-8"/>
      <w:bookmarkEnd w:id="23"/>
      <w:bookmarkEnd w:id="24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B5558B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9B3EBB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4.8 Единой методики 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ринятие решения конкурсной комиссией об определении победителя конкурса без проведения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очного индивидуального собеседования конкурсной комиссии с кандидатом не допускается.</w:t>
      </w:r>
    </w:p>
    <w:p w:rsidR="009B3EBB" w:rsidRPr="00396742" w:rsidRDefault="009B3EBB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2F37BF" w:rsidRPr="00396742" w:rsidRDefault="00812133" w:rsidP="002F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0030-2-1-20210115-4-9"/>
      <w:bookmarkEnd w:id="25"/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B5558B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7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2F37BF" w:rsidRPr="00396742">
        <w:rPr>
          <w:rFonts w:ascii="Times New Roman" w:hAnsi="Times New Roman" w:cs="Times New Roman"/>
          <w:sz w:val="28"/>
          <w:szCs w:val="28"/>
        </w:rPr>
        <w:t>По итогам конкурса каждый член конкурсной комиссии выставляет кандидату соответствующий балл. Баллы, выставленные всеми членами конкурсной комиссии, суммируются. Итоговый балл определяется как среднеарифметическая сумма баллов тестирования и сумма баллов, выставленная всеми членами конкурсной комиссии по результатам собеседования с канди</w:t>
      </w:r>
      <w:r w:rsidR="009B3EBB">
        <w:rPr>
          <w:rFonts w:ascii="Times New Roman" w:hAnsi="Times New Roman" w:cs="Times New Roman"/>
          <w:sz w:val="28"/>
          <w:szCs w:val="28"/>
        </w:rPr>
        <w:t xml:space="preserve">датами, прошедшими тестирование, </w:t>
      </w:r>
      <w:r w:rsidR="009B3EBB" w:rsidRPr="007621F3">
        <w:rPr>
          <w:rFonts w:ascii="Times New Roman" w:hAnsi="Times New Roman" w:cs="Times New Roman"/>
          <w:sz w:val="28"/>
          <w:szCs w:val="28"/>
        </w:rPr>
        <w:t xml:space="preserve">а также сумма баллов по другим конкурсным заданиям (если они применялись).  </w:t>
      </w:r>
      <w:r w:rsidR="002F37BF" w:rsidRPr="0039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BF" w:rsidRPr="00396742" w:rsidRDefault="002F37BF" w:rsidP="002F37B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12133" w:rsidRPr="00396742" w:rsidRDefault="00B376C5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4.1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8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gramStart"/>
      <w:r w:rsidR="009B3EBB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4.9 Единой методики 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r w:rsidR="00812133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целях обеспечения справедливости оценки конкурсной комиссией профессионального уровня кандидата в случае, если член конкурсной комиссии не участвовал в оценке хотя бы одного кандидата, его оценка по каждому кандидату не учитывается и равна нулю при определении среднего арифметического баллов, выставленных конкурсной комиссией по результатам индивидуального собеседования или другого конкурсного задания, оцениваемого членами конкурсной</w:t>
      </w:r>
      <w:proofErr w:type="gramEnd"/>
      <w:r w:rsidR="00812133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комиссии. Число выставленных оценок должно быть равным по каждому кандидату и отражать число членов конкурсной комиссии.</w:t>
      </w:r>
    </w:p>
    <w:p w:rsidR="00301799" w:rsidRPr="00396742" w:rsidRDefault="0030179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6" w:name="0030-2-1-20210115-4-10"/>
      <w:bookmarkEnd w:id="26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19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9B3EBB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4.10 Единой методики 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 результатам сопоставления итоговых баллов кандидатов секретарь конкурсной комиссии формирует рейтинг кандидатов.</w:t>
      </w:r>
    </w:p>
    <w:p w:rsidR="00301799" w:rsidRPr="00396742" w:rsidRDefault="0030179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7" w:name="0030-2-1-20210115-4-11"/>
      <w:bookmarkEnd w:id="27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F41C6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0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9B3EBB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4.11 Единой методики 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 Голосование осуществляется по каждому кандидату в порядке рейтинга, начиная с кандидата, занявшего первое место в рейтинге.</w:t>
      </w:r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Члены конкурсной комиссии вправе подавать голос за определение победителем конкурса любого кандидата вне зависимости от его места в рейтинге кандидатов. В случае равенства голосов по кандидатурам победителем следует признать того кандидата, за которого проголосовал председатель конкурсной комиссии. С целью предупреждения спорных ситуаций в состав конкурсной комиссии </w:t>
      </w:r>
      <w:r w:rsidR="00294957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включается 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нечетное число ее членов.</w:t>
      </w:r>
    </w:p>
    <w:p w:rsidR="009B3EBB" w:rsidRPr="007621F3" w:rsidRDefault="009B3EBB" w:rsidP="009B3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0030-2-1-20210115-4-12"/>
      <w:bookmarkEnd w:id="28"/>
      <w:r w:rsidRPr="007621F3">
        <w:rPr>
          <w:rFonts w:ascii="Times New Roman" w:hAnsi="Times New Roman" w:cs="Times New Roman"/>
          <w:sz w:val="28"/>
          <w:szCs w:val="28"/>
        </w:rPr>
        <w:t xml:space="preserve">Каждому члену конкурсной комиссии следует учитывать риски возможного обращения в комиссию государственного органа по служебным спорам и (или) суд кандидатов, неудовлетворенных результатами конкурса, с целью оспаривания его результатов. В этой связи членам конкурсной комиссии в случае голосования за кандидата, не занявшего первое место в рейтинге, и признанного победителем конкурса, следует привести аргументы в пользу </w:t>
      </w:r>
      <w:r w:rsidRPr="007621F3">
        <w:rPr>
          <w:rFonts w:ascii="Times New Roman" w:hAnsi="Times New Roman" w:cs="Times New Roman"/>
          <w:sz w:val="28"/>
          <w:szCs w:val="28"/>
        </w:rPr>
        <w:lastRenderedPageBreak/>
        <w:t>данного решения в графе «Комментарии к результатам голосования» решения (протокола) конкурсной комиссии.</w:t>
      </w:r>
    </w:p>
    <w:p w:rsidR="00301799" w:rsidRPr="00396742" w:rsidRDefault="0030179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F41C6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proofErr w:type="gramStart"/>
      <w:r w:rsidR="009B3EBB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4.12 Единой методики </w:t>
      </w:r>
      <w:r w:rsidR="009B3EB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установленной </w:t>
      </w:r>
      <w:hyperlink r:id="rId10" w:history="1">
        <w:r w:rsidRPr="00A65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F41C69" w:rsidRPr="00A65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к настоящей </w:t>
      </w:r>
      <w:r w:rsidR="00A659C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етодике, и протоколом заседания конкурсной комиссии по результатам конкурса на включение в кадровый резерв по форме, установленной </w:t>
      </w:r>
      <w:hyperlink r:id="rId11" w:history="1">
        <w:r w:rsidRPr="00A65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F41C69" w:rsidRPr="00A659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к настоящей </w:t>
      </w:r>
      <w:r w:rsidR="00A659C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етодике.</w:t>
      </w:r>
      <w:proofErr w:type="gramEnd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301799" w:rsidRPr="00396742" w:rsidRDefault="0030179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9" w:name="0030-2-1-20210115-4-13"/>
      <w:bookmarkEnd w:id="29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F41C6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</w:t>
      </w:r>
      <w:r w:rsidR="00F538D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F538D6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4.13 Единой методики </w:t>
      </w:r>
      <w:r w:rsidR="00F538D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301799" w:rsidRPr="00396742" w:rsidRDefault="0030179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30" w:name="0030-2-1-20210115-4-14"/>
      <w:bookmarkEnd w:id="30"/>
    </w:p>
    <w:p w:rsidR="00812133" w:rsidRPr="00396742" w:rsidRDefault="00812133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</w:t>
      </w:r>
      <w:r w:rsidR="00F41C69"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</w:t>
      </w:r>
      <w:r w:rsidR="00F538D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F538D6" w:rsidRPr="007621F3">
        <w:rPr>
          <w:rFonts w:ascii="Times New Roman" w:hAnsi="Times New Roman" w:cs="Times New Roman"/>
          <w:sz w:val="28"/>
          <w:szCs w:val="28"/>
        </w:rPr>
        <w:t xml:space="preserve">В соответствии с пунктом 4.14 Единой методики </w:t>
      </w:r>
      <w:r w:rsidR="00F538D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r w:rsidRPr="00396742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форме.</w:t>
      </w:r>
    </w:p>
    <w:p w:rsidR="00E47949" w:rsidRDefault="00E47949" w:rsidP="00B00C45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31" w:name="0030-2-1-20210115-4-15"/>
      <w:bookmarkEnd w:id="31"/>
    </w:p>
    <w:p w:rsidR="00396742" w:rsidRDefault="00396742" w:rsidP="003967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72F9" w:rsidRDefault="006272F9" w:rsidP="00F538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6742" w:rsidRDefault="00F538D6" w:rsidP="003967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A74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A74AF">
        <w:rPr>
          <w:sz w:val="28"/>
          <w:szCs w:val="28"/>
        </w:rPr>
        <w:t xml:space="preserve"> </w:t>
      </w:r>
      <w:r w:rsidR="0039674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4AF">
        <w:rPr>
          <w:sz w:val="28"/>
          <w:szCs w:val="28"/>
        </w:rPr>
        <w:tab/>
      </w:r>
      <w:r w:rsidR="005A74AF">
        <w:rPr>
          <w:sz w:val="28"/>
          <w:szCs w:val="28"/>
        </w:rPr>
        <w:tab/>
      </w:r>
      <w:r>
        <w:rPr>
          <w:sz w:val="28"/>
          <w:szCs w:val="28"/>
        </w:rPr>
        <w:t>Д.Е. Вальтер</w:t>
      </w:r>
    </w:p>
    <w:p w:rsidR="00396742" w:rsidRDefault="00396742" w:rsidP="003967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38D6" w:rsidRDefault="00F538D6" w:rsidP="003967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6742" w:rsidRDefault="00396742" w:rsidP="00CE6D8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</w:pPr>
      <w:bookmarkStart w:id="32" w:name="_GoBack"/>
      <w:bookmarkEnd w:id="32"/>
      <w:r w:rsidRPr="0039674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Методика проведения конкурсов на замещение вакантных должностей государственной гражданской службы Донецкой Народной Республики в администрации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Центрально-Городского района</w:t>
      </w:r>
      <w:r w:rsidRPr="0039674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г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. </w:t>
      </w:r>
      <w:r w:rsidRPr="0039674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Горловка</w:t>
      </w:r>
      <w:r w:rsidR="006624E4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</w:t>
      </w:r>
      <w:r w:rsidRPr="0039674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и включение в кадровый резерв администрации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Центрально-Городского района</w:t>
      </w:r>
      <w:r w:rsidRPr="0039674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г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.</w:t>
      </w:r>
      <w:r w:rsidRPr="00396742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Горловка</w:t>
      </w:r>
      <w:r w:rsidR="006624E4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подготовлена 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общим </w:t>
      </w:r>
      <w:r w:rsidR="006624E4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отделом администрации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Центрально-Городского района</w:t>
      </w:r>
      <w:r w:rsidR="006624E4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г</w:t>
      </w:r>
      <w:r w:rsidR="005A74AF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.</w:t>
      </w:r>
      <w:r w:rsidR="006624E4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 xml:space="preserve"> Горловка</w:t>
      </w:r>
      <w:r w:rsidR="006272F9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.</w:t>
      </w:r>
    </w:p>
    <w:p w:rsidR="006624E4" w:rsidRDefault="006624E4" w:rsidP="003967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</w:pPr>
    </w:p>
    <w:p w:rsidR="006272F9" w:rsidRDefault="006272F9" w:rsidP="003967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</w:pPr>
    </w:p>
    <w:p w:rsidR="006272F9" w:rsidRDefault="006272F9" w:rsidP="0039674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</w:pPr>
    </w:p>
    <w:p w:rsidR="00396742" w:rsidRPr="00396742" w:rsidRDefault="006624E4" w:rsidP="006272F9">
      <w:pPr>
        <w:shd w:val="clear" w:color="auto" w:fill="FEFEFE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E4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Начальник отдела                                     </w:t>
      </w:r>
      <w:r w:rsidR="00A659C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                  </w:t>
      </w:r>
      <w:r w:rsidR="006272F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   </w:t>
      </w:r>
      <w:r w:rsidR="00A659C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          </w:t>
      </w:r>
      <w:r w:rsidR="005A74A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Е.В. Попова</w:t>
      </w:r>
    </w:p>
    <w:sectPr w:rsidR="00396742" w:rsidRPr="00396742" w:rsidSect="006624E4"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11" w:rsidRDefault="00F16211" w:rsidP="00B00C45">
      <w:pPr>
        <w:spacing w:after="0" w:line="240" w:lineRule="auto"/>
      </w:pPr>
      <w:r>
        <w:separator/>
      </w:r>
    </w:p>
  </w:endnote>
  <w:endnote w:type="continuationSeparator" w:id="0">
    <w:p w:rsidR="00F16211" w:rsidRDefault="00F16211" w:rsidP="00B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11" w:rsidRDefault="00F16211" w:rsidP="00B00C45">
      <w:pPr>
        <w:spacing w:after="0" w:line="240" w:lineRule="auto"/>
      </w:pPr>
      <w:r>
        <w:separator/>
      </w:r>
    </w:p>
  </w:footnote>
  <w:footnote w:type="continuationSeparator" w:id="0">
    <w:p w:rsidR="00F16211" w:rsidRDefault="00F16211" w:rsidP="00B0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797"/>
      <w:docPartObj>
        <w:docPartGallery w:val="Page Numbers (Top of Page)"/>
        <w:docPartUnique/>
      </w:docPartObj>
    </w:sdtPr>
    <w:sdtEndPr/>
    <w:sdtContent>
      <w:p w:rsidR="00DC5B5F" w:rsidRDefault="004C17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C5B5F" w:rsidRDefault="00DC5B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33"/>
    <w:rsid w:val="00002DBD"/>
    <w:rsid w:val="00082C00"/>
    <w:rsid w:val="000A7C6F"/>
    <w:rsid w:val="000B638F"/>
    <w:rsid w:val="000E7C78"/>
    <w:rsid w:val="00120454"/>
    <w:rsid w:val="00180026"/>
    <w:rsid w:val="001A6B31"/>
    <w:rsid w:val="00247705"/>
    <w:rsid w:val="0027329C"/>
    <w:rsid w:val="00294957"/>
    <w:rsid w:val="002A43F9"/>
    <w:rsid w:val="002E018E"/>
    <w:rsid w:val="002F37BF"/>
    <w:rsid w:val="00301799"/>
    <w:rsid w:val="00353484"/>
    <w:rsid w:val="003713B5"/>
    <w:rsid w:val="00381091"/>
    <w:rsid w:val="00382722"/>
    <w:rsid w:val="00382F6A"/>
    <w:rsid w:val="00396742"/>
    <w:rsid w:val="004048E6"/>
    <w:rsid w:val="004C17B1"/>
    <w:rsid w:val="00527DB2"/>
    <w:rsid w:val="00536AC0"/>
    <w:rsid w:val="00596E26"/>
    <w:rsid w:val="005A74AF"/>
    <w:rsid w:val="006272F9"/>
    <w:rsid w:val="006624E4"/>
    <w:rsid w:val="00760A2B"/>
    <w:rsid w:val="007806FD"/>
    <w:rsid w:val="00812133"/>
    <w:rsid w:val="008471EC"/>
    <w:rsid w:val="008E6823"/>
    <w:rsid w:val="00900936"/>
    <w:rsid w:val="0091055B"/>
    <w:rsid w:val="009B3EBB"/>
    <w:rsid w:val="009C7E77"/>
    <w:rsid w:val="00A41C7A"/>
    <w:rsid w:val="00A659C3"/>
    <w:rsid w:val="00AA77A4"/>
    <w:rsid w:val="00B00C45"/>
    <w:rsid w:val="00B10F17"/>
    <w:rsid w:val="00B25C89"/>
    <w:rsid w:val="00B376C5"/>
    <w:rsid w:val="00B5558B"/>
    <w:rsid w:val="00B55B0E"/>
    <w:rsid w:val="00B948F2"/>
    <w:rsid w:val="00BB079F"/>
    <w:rsid w:val="00BB1B8C"/>
    <w:rsid w:val="00BC2D7D"/>
    <w:rsid w:val="00C45AE5"/>
    <w:rsid w:val="00C9725D"/>
    <w:rsid w:val="00CC1B20"/>
    <w:rsid w:val="00CE6D85"/>
    <w:rsid w:val="00D027C1"/>
    <w:rsid w:val="00D67F43"/>
    <w:rsid w:val="00DA0AF0"/>
    <w:rsid w:val="00DC5B5F"/>
    <w:rsid w:val="00E1143F"/>
    <w:rsid w:val="00E47949"/>
    <w:rsid w:val="00E65AB8"/>
    <w:rsid w:val="00F16211"/>
    <w:rsid w:val="00F30FDA"/>
    <w:rsid w:val="00F41C69"/>
    <w:rsid w:val="00F538D6"/>
    <w:rsid w:val="00F6257E"/>
    <w:rsid w:val="00FB048C"/>
    <w:rsid w:val="00FC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paragraph" w:styleId="2">
    <w:name w:val="heading 2"/>
    <w:basedOn w:val="a"/>
    <w:link w:val="20"/>
    <w:uiPriority w:val="9"/>
    <w:qFormat/>
    <w:rsid w:val="00812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1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133"/>
    <w:rPr>
      <w:color w:val="0000FF"/>
      <w:u w:val="single"/>
    </w:rPr>
  </w:style>
  <w:style w:type="character" w:styleId="a5">
    <w:name w:val="Strong"/>
    <w:basedOn w:val="a0"/>
    <w:uiPriority w:val="22"/>
    <w:qFormat/>
    <w:rsid w:val="00812133"/>
    <w:rPr>
      <w:b/>
      <w:bCs/>
    </w:rPr>
  </w:style>
  <w:style w:type="paragraph" w:styleId="a6">
    <w:name w:val="header"/>
    <w:basedOn w:val="a"/>
    <w:link w:val="a7"/>
    <w:uiPriority w:val="99"/>
    <w:unhideWhenUsed/>
    <w:rsid w:val="00B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C45"/>
  </w:style>
  <w:style w:type="paragraph" w:styleId="a8">
    <w:name w:val="footer"/>
    <w:basedOn w:val="a"/>
    <w:link w:val="a9"/>
    <w:uiPriority w:val="99"/>
    <w:semiHidden/>
    <w:unhideWhenUsed/>
    <w:rsid w:val="00B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C45"/>
  </w:style>
  <w:style w:type="paragraph" w:customStyle="1" w:styleId="ConsPlusNormal">
    <w:name w:val="ConsPlusNormal"/>
    <w:rsid w:val="00B55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5305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37-2020050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wp-content/uploads/2021/01/Prilozhenie-1-Metodika-otsenki-proffesionalnyh-i-lichnyh-kachestv-grazhdan.docx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isnpa-dnr.ru/wp-content/uploads/2021/01/Prilozhenie-5-Protokol-zasedaniya-konkursnoj-komissii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wp-content/uploads/2021/01/Prilozhenie-4-Reshenie-konkursnoj-komissi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wp-content/uploads/2021/01/Prilozhenie-3-Konkursnyj-byullete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cga03</cp:lastModifiedBy>
  <cp:revision>10</cp:revision>
  <dcterms:created xsi:type="dcterms:W3CDTF">2021-02-05T09:31:00Z</dcterms:created>
  <dcterms:modified xsi:type="dcterms:W3CDTF">2021-07-21T06:30:00Z</dcterms:modified>
</cp:coreProperties>
</file>